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F7" w:rsidRPr="00AC02F7" w:rsidRDefault="00AC02F7" w:rsidP="00AC02F7">
      <w:pPr>
        <w:spacing w:after="150" w:line="330" w:lineRule="atLeast"/>
        <w:outlineLvl w:val="1"/>
        <w:rPr>
          <w:rFonts w:ascii="Oswald" w:eastAsia="Times New Roman" w:hAnsi="Oswald" w:cs="Times New Roman"/>
          <w:color w:val="DD3333"/>
          <w:sz w:val="30"/>
          <w:szCs w:val="30"/>
        </w:rPr>
      </w:pPr>
      <w:r w:rsidRPr="00AC02F7">
        <w:rPr>
          <w:rFonts w:ascii="Oswald" w:eastAsia="Times New Roman" w:hAnsi="Oswald" w:cs="Times New Roman"/>
          <w:color w:val="DD3333"/>
          <w:sz w:val="30"/>
          <w:szCs w:val="30"/>
        </w:rPr>
        <w:t>"Riteniamo che la storia del risparmio stia subendo una lenta deriva alla quale però troppo in fretta ci stiamo già abituando</w:t>
      </w:r>
      <w:proofErr w:type="gramStart"/>
      <w:r w:rsidRPr="00AC02F7">
        <w:rPr>
          <w:rFonts w:ascii="Oswald" w:eastAsia="Times New Roman" w:hAnsi="Oswald" w:cs="Times New Roman"/>
          <w:color w:val="DD3333"/>
          <w:sz w:val="30"/>
          <w:szCs w:val="30"/>
        </w:rPr>
        <w:t>"</w:t>
      </w:r>
      <w:proofErr w:type="gramEnd"/>
    </w:p>
    <w:p w:rsidR="00AC02F7" w:rsidRPr="00AC02F7" w:rsidRDefault="00AC02F7" w:rsidP="00AC02F7">
      <w:pPr>
        <w:spacing w:line="330"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644900" cy="2286000"/>
            <wp:effectExtent l="0" t="0" r="12700" b="0"/>
            <wp:docPr id="1" name="Immagine 1" descr="IT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900" cy="2286000"/>
                    </a:xfrm>
                    <a:prstGeom prst="rect">
                      <a:avLst/>
                    </a:prstGeom>
                    <a:noFill/>
                    <a:ln>
                      <a:noFill/>
                    </a:ln>
                  </pic:spPr>
                </pic:pic>
              </a:graphicData>
            </a:graphic>
          </wp:inline>
        </w:drawing>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SIENA. È davvero un momento di grave difficoltà quello che stanno vivendo e dovranno ancora </w:t>
      </w:r>
      <w:proofErr w:type="gramStart"/>
      <w:r w:rsidRPr="00AC02F7">
        <w:rPr>
          <w:rFonts w:ascii="Times" w:hAnsi="Times" w:cs="Times New Roman"/>
          <w:sz w:val="21"/>
          <w:szCs w:val="21"/>
        </w:rPr>
        <w:t>vivere</w:t>
      </w:r>
      <w:proofErr w:type="gramEnd"/>
      <w:r w:rsidRPr="00AC02F7">
        <w:rPr>
          <w:rFonts w:ascii="Times" w:hAnsi="Times" w:cs="Times New Roman"/>
          <w:sz w:val="21"/>
          <w:szCs w:val="21"/>
        </w:rPr>
        <w:t xml:space="preserve"> i tanti risparmiatori italiani.</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E anche seguendo le ultime vicende che vedono sempre più risparmiatori prigionieri di scelte sconsiderate fatte da </w:t>
      </w:r>
      <w:proofErr w:type="gramStart"/>
      <w:r w:rsidRPr="00AC02F7">
        <w:rPr>
          <w:rFonts w:ascii="Times" w:hAnsi="Times" w:cs="Times New Roman"/>
          <w:sz w:val="21"/>
          <w:szCs w:val="21"/>
        </w:rPr>
        <w:t>chi</w:t>
      </w:r>
      <w:proofErr w:type="gramEnd"/>
      <w:r w:rsidRPr="00AC02F7">
        <w:rPr>
          <w:rFonts w:ascii="Times" w:hAnsi="Times" w:cs="Times New Roman"/>
          <w:sz w:val="21"/>
          <w:szCs w:val="21"/>
        </w:rPr>
        <w:t xml:space="preserve"> però rifugge qualsiasi responsabilità nel danno provocato, torna in mente la celebre </w:t>
      </w:r>
      <w:r w:rsidRPr="00AC02F7">
        <w:rPr>
          <w:rFonts w:ascii="Times" w:hAnsi="Times" w:cs="Times New Roman"/>
          <w:sz w:val="21"/>
          <w:szCs w:val="21"/>
          <w:u w:val="single"/>
        </w:rPr>
        <w:t>metafora di Chomsky della rana cotta</w:t>
      </w:r>
      <w:r w:rsidRPr="00AC02F7">
        <w:rPr>
          <w:rFonts w:ascii="Times" w:hAnsi="Times" w:cs="Times New Roman"/>
          <w:sz w:val="21"/>
          <w:szCs w:val="21"/>
        </w:rPr>
        <w:t>.</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Riteniamo</w:t>
      </w:r>
      <w:proofErr w:type="gramStart"/>
      <w:r w:rsidRPr="00AC02F7">
        <w:rPr>
          <w:rFonts w:ascii="Times" w:hAnsi="Times" w:cs="Times New Roman"/>
          <w:sz w:val="21"/>
          <w:szCs w:val="21"/>
        </w:rPr>
        <w:t xml:space="preserve"> infatti</w:t>
      </w:r>
      <w:proofErr w:type="gramEnd"/>
      <w:r w:rsidRPr="00AC02F7">
        <w:rPr>
          <w:rFonts w:ascii="Times" w:hAnsi="Times" w:cs="Times New Roman"/>
          <w:sz w:val="21"/>
          <w:szCs w:val="21"/>
        </w:rPr>
        <w:t xml:space="preserve"> che la storia del risparmio stia subendo una lenta deriva alla quale però troppo in fretta ci stiamo già abituando. Una quantità di cose che fanno rabbrividire, come l’azzeramento di tanti piccoli risparmiatori, sono state poco a poco banalizzate e oggi disturbano appena o lasciano addirittura completamente indifferente la maggior parte delle persone.</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Se la ranocchia fosse stata buttata direttamente nell’acqua a </w:t>
      </w:r>
      <w:proofErr w:type="gramStart"/>
      <w:r w:rsidRPr="00AC02F7">
        <w:rPr>
          <w:rFonts w:ascii="Times" w:hAnsi="Times" w:cs="Times New Roman"/>
          <w:sz w:val="21"/>
          <w:szCs w:val="21"/>
        </w:rPr>
        <w:t>50</w:t>
      </w:r>
      <w:proofErr w:type="gramEnd"/>
      <w:r w:rsidRPr="00AC02F7">
        <w:rPr>
          <w:rFonts w:ascii="Times" w:hAnsi="Times" w:cs="Times New Roman"/>
          <w:sz w:val="21"/>
          <w:szCs w:val="21"/>
        </w:rPr>
        <w:t xml:space="preserve"> gradi, con un colpo di zampe sarebbe immediatamente saltata fuori dalla pentola; ed è quello che deve essere successo ai tanti risparmiatori del </w:t>
      </w:r>
      <w:proofErr w:type="spellStart"/>
      <w:r w:rsidRPr="00AC02F7">
        <w:rPr>
          <w:rFonts w:ascii="Times" w:hAnsi="Times" w:cs="Times New Roman"/>
          <w:sz w:val="21"/>
          <w:szCs w:val="21"/>
        </w:rPr>
        <w:t>Mps</w:t>
      </w:r>
      <w:proofErr w:type="spellEnd"/>
      <w:r w:rsidRPr="00AC02F7">
        <w:rPr>
          <w:rFonts w:ascii="Times" w:hAnsi="Times" w:cs="Times New Roman"/>
          <w:sz w:val="21"/>
          <w:szCs w:val="21"/>
        </w:rPr>
        <w:t>, ormai abituati a sacrificarsi nei tanti, troppi aumenti di capitale.</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L’Associazione Vittime del Salva-Banche che ieri ha partecipato all’assemblea dei soci del Monte </w:t>
      </w:r>
      <w:proofErr w:type="gramStart"/>
      <w:r w:rsidRPr="00AC02F7">
        <w:rPr>
          <w:rFonts w:ascii="Times" w:hAnsi="Times" w:cs="Times New Roman"/>
          <w:sz w:val="21"/>
          <w:szCs w:val="21"/>
        </w:rPr>
        <w:t>dei</w:t>
      </w:r>
      <w:proofErr w:type="gramEnd"/>
      <w:r w:rsidRPr="00AC02F7">
        <w:rPr>
          <w:rFonts w:ascii="Times" w:hAnsi="Times" w:cs="Times New Roman"/>
          <w:sz w:val="21"/>
          <w:szCs w:val="21"/>
        </w:rPr>
        <w:t xml:space="preserve"> Pachi intende portare alla luce il gioco delle scatole cinesi che stanno alla base del piano di aumento di capitale </w:t>
      </w:r>
      <w:proofErr w:type="spellStart"/>
      <w:r w:rsidRPr="00AC02F7">
        <w:rPr>
          <w:rFonts w:ascii="Times" w:hAnsi="Times" w:cs="Times New Roman"/>
          <w:sz w:val="21"/>
          <w:szCs w:val="21"/>
        </w:rPr>
        <w:t>Mps</w:t>
      </w:r>
      <w:proofErr w:type="spellEnd"/>
      <w:r w:rsidRPr="00AC02F7">
        <w:rPr>
          <w:rFonts w:ascii="Times" w:hAnsi="Times" w:cs="Times New Roman"/>
          <w:sz w:val="21"/>
          <w:szCs w:val="21"/>
        </w:rPr>
        <w:t>.</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Infatti, dietro alla complessità tecnica di una </w:t>
      </w:r>
      <w:r w:rsidRPr="00AC02F7">
        <w:rPr>
          <w:rFonts w:ascii="Times" w:hAnsi="Times" w:cs="Times New Roman"/>
          <w:sz w:val="21"/>
          <w:szCs w:val="21"/>
          <w:u w:val="single"/>
        </w:rPr>
        <w:t>cessione dei crediti in sofferenza </w:t>
      </w:r>
      <w:proofErr w:type="gramStart"/>
      <w:r w:rsidRPr="00AC02F7">
        <w:rPr>
          <w:rFonts w:ascii="Times" w:hAnsi="Times" w:cs="Times New Roman"/>
          <w:sz w:val="21"/>
          <w:szCs w:val="21"/>
        </w:rPr>
        <w:t>ad</w:t>
      </w:r>
      <w:proofErr w:type="gramEnd"/>
      <w:r w:rsidRPr="00AC02F7">
        <w:rPr>
          <w:rFonts w:ascii="Times" w:hAnsi="Times" w:cs="Times New Roman"/>
          <w:sz w:val="21"/>
          <w:szCs w:val="21"/>
        </w:rPr>
        <w:t xml:space="preserve"> un prezzo pari al 33%, risalendo lo schema a piramide troviamo, invece,</w:t>
      </w:r>
      <w:r w:rsidRPr="00AC02F7">
        <w:rPr>
          <w:rFonts w:ascii="Times" w:hAnsi="Times" w:cs="Times New Roman"/>
          <w:sz w:val="21"/>
          <w:szCs w:val="21"/>
          <w:u w:val="single"/>
        </w:rPr>
        <w:t> alla fine un prezzo reale pari al 20%</w:t>
      </w:r>
      <w:r w:rsidRPr="00AC02F7">
        <w:rPr>
          <w:rFonts w:ascii="Times" w:hAnsi="Times" w:cs="Times New Roman"/>
          <w:sz w:val="21"/>
          <w:szCs w:val="21"/>
        </w:rPr>
        <w:t>.</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Una percentuale che ci ricorda la risoluzione delle </w:t>
      </w:r>
      <w:proofErr w:type="gramStart"/>
      <w:r w:rsidRPr="00AC02F7">
        <w:rPr>
          <w:rFonts w:ascii="Times" w:hAnsi="Times" w:cs="Times New Roman"/>
          <w:sz w:val="21"/>
          <w:szCs w:val="21"/>
        </w:rPr>
        <w:t>4</w:t>
      </w:r>
      <w:proofErr w:type="gramEnd"/>
      <w:r w:rsidRPr="00AC02F7">
        <w:rPr>
          <w:rFonts w:ascii="Times" w:hAnsi="Times" w:cs="Times New Roman"/>
          <w:sz w:val="21"/>
          <w:szCs w:val="21"/>
        </w:rPr>
        <w:t xml:space="preserve"> banche (Banca Etruria, </w:t>
      </w:r>
      <w:proofErr w:type="spellStart"/>
      <w:r w:rsidRPr="00AC02F7">
        <w:rPr>
          <w:rFonts w:ascii="Times" w:hAnsi="Times" w:cs="Times New Roman"/>
          <w:sz w:val="21"/>
          <w:szCs w:val="21"/>
        </w:rPr>
        <w:t>CariFerrara</w:t>
      </w:r>
      <w:proofErr w:type="spellEnd"/>
      <w:r w:rsidRPr="00AC02F7">
        <w:rPr>
          <w:rFonts w:ascii="Times" w:hAnsi="Times" w:cs="Times New Roman"/>
          <w:sz w:val="21"/>
          <w:szCs w:val="21"/>
        </w:rPr>
        <w:t xml:space="preserve">, </w:t>
      </w:r>
      <w:proofErr w:type="spellStart"/>
      <w:r w:rsidRPr="00AC02F7">
        <w:rPr>
          <w:rFonts w:ascii="Times" w:hAnsi="Times" w:cs="Times New Roman"/>
          <w:sz w:val="21"/>
          <w:szCs w:val="21"/>
        </w:rPr>
        <w:t>CariChieti</w:t>
      </w:r>
      <w:proofErr w:type="spellEnd"/>
      <w:r w:rsidRPr="00AC02F7">
        <w:rPr>
          <w:rFonts w:ascii="Times" w:hAnsi="Times" w:cs="Times New Roman"/>
          <w:sz w:val="21"/>
          <w:szCs w:val="21"/>
        </w:rPr>
        <w:t xml:space="preserve"> e Banca delle Marche), le cui sofferenze sono state cedute al 17%.</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Ciò che non si dice è che dal 33% di “vendita” dobbiamo sottrarre:</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1) 1,6 miliardi immessi direttamente da MPS nel segmento junior del veicolo </w:t>
      </w:r>
      <w:proofErr w:type="gramStart"/>
      <w:r w:rsidRPr="00AC02F7">
        <w:rPr>
          <w:rFonts w:ascii="Times" w:hAnsi="Times" w:cs="Times New Roman"/>
          <w:sz w:val="21"/>
          <w:szCs w:val="21"/>
        </w:rPr>
        <w:t>(</w:t>
      </w:r>
      <w:proofErr w:type="gramEnd"/>
      <w:r w:rsidRPr="00AC02F7">
        <w:rPr>
          <w:rFonts w:ascii="Times" w:hAnsi="Times" w:cs="Times New Roman"/>
          <w:sz w:val="21"/>
          <w:szCs w:val="21"/>
        </w:rPr>
        <w:t xml:space="preserve">Sec. Co.) che poi </w:t>
      </w:r>
      <w:proofErr w:type="gramStart"/>
      <w:r w:rsidRPr="00AC02F7">
        <w:rPr>
          <w:rFonts w:ascii="Times" w:hAnsi="Times" w:cs="Times New Roman"/>
          <w:sz w:val="21"/>
          <w:szCs w:val="21"/>
        </w:rPr>
        <w:t>verranno</w:t>
      </w:r>
      <w:proofErr w:type="gramEnd"/>
      <w:r w:rsidRPr="00AC02F7">
        <w:rPr>
          <w:rFonts w:ascii="Times" w:hAnsi="Times" w:cs="Times New Roman"/>
          <w:sz w:val="21"/>
          <w:szCs w:val="21"/>
        </w:rPr>
        <w:t xml:space="preserve"> ceduti gratuitamente agli attuali azionisti;</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lastRenderedPageBreak/>
        <w:t xml:space="preserve">2) 1,171 miliardi </w:t>
      </w:r>
      <w:proofErr w:type="gramStart"/>
      <w:r w:rsidRPr="00AC02F7">
        <w:rPr>
          <w:rFonts w:ascii="Times" w:hAnsi="Times" w:cs="Times New Roman"/>
          <w:sz w:val="21"/>
          <w:szCs w:val="21"/>
        </w:rPr>
        <w:t xml:space="preserve">di </w:t>
      </w:r>
      <w:proofErr w:type="gramEnd"/>
      <w:r w:rsidRPr="00AC02F7">
        <w:rPr>
          <w:rFonts w:ascii="Times" w:hAnsi="Times" w:cs="Times New Roman"/>
          <w:sz w:val="21"/>
          <w:szCs w:val="21"/>
        </w:rPr>
        <w:t xml:space="preserve">investimento diretto </w:t>
      </w:r>
      <w:proofErr w:type="spellStart"/>
      <w:r w:rsidRPr="00AC02F7">
        <w:rPr>
          <w:rFonts w:ascii="Times" w:hAnsi="Times" w:cs="Times New Roman"/>
          <w:sz w:val="21"/>
          <w:szCs w:val="21"/>
        </w:rPr>
        <w:t>Mps</w:t>
      </w:r>
      <w:proofErr w:type="spellEnd"/>
      <w:r w:rsidRPr="00AC02F7">
        <w:rPr>
          <w:rFonts w:ascii="Times" w:hAnsi="Times" w:cs="Times New Roman"/>
          <w:sz w:val="21"/>
          <w:szCs w:val="21"/>
        </w:rPr>
        <w:t xml:space="preserve"> nelle obbligazioni senior/</w:t>
      </w:r>
      <w:proofErr w:type="spellStart"/>
      <w:r w:rsidRPr="00AC02F7">
        <w:rPr>
          <w:rFonts w:ascii="Times" w:hAnsi="Times" w:cs="Times New Roman"/>
          <w:sz w:val="21"/>
          <w:szCs w:val="21"/>
        </w:rPr>
        <w:t>mezzanine</w:t>
      </w:r>
      <w:proofErr w:type="spellEnd"/>
      <w:r w:rsidRPr="00AC02F7">
        <w:rPr>
          <w:rFonts w:ascii="Times" w:hAnsi="Times" w:cs="Times New Roman"/>
          <w:sz w:val="21"/>
          <w:szCs w:val="21"/>
        </w:rPr>
        <w:t>;</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3) 200 milioni di omaggio ad Atlante;</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4) 179 milioni di prestiti subordinati del veicolo </w:t>
      </w:r>
      <w:proofErr w:type="gramStart"/>
      <w:r w:rsidRPr="00AC02F7">
        <w:rPr>
          <w:rFonts w:ascii="Times" w:hAnsi="Times" w:cs="Times New Roman"/>
          <w:sz w:val="21"/>
          <w:szCs w:val="21"/>
        </w:rPr>
        <w:t>(</w:t>
      </w:r>
      <w:proofErr w:type="gramEnd"/>
      <w:r w:rsidRPr="00AC02F7">
        <w:rPr>
          <w:rFonts w:ascii="Times" w:hAnsi="Times" w:cs="Times New Roman"/>
          <w:sz w:val="21"/>
          <w:szCs w:val="21"/>
        </w:rPr>
        <w:t xml:space="preserve">Sec. Co.) a perdere (tanto è vero che </w:t>
      </w:r>
      <w:proofErr w:type="gramStart"/>
      <w:r w:rsidRPr="00AC02F7">
        <w:rPr>
          <w:rFonts w:ascii="Times" w:hAnsi="Times" w:cs="Times New Roman"/>
          <w:sz w:val="21"/>
          <w:szCs w:val="21"/>
        </w:rPr>
        <w:t>verranno</w:t>
      </w:r>
      <w:proofErr w:type="gramEnd"/>
      <w:r w:rsidRPr="00AC02F7">
        <w:rPr>
          <w:rFonts w:ascii="Times" w:hAnsi="Times" w:cs="Times New Roman"/>
          <w:sz w:val="21"/>
          <w:szCs w:val="21"/>
        </w:rPr>
        <w:t xml:space="preserve"> registrati a ZERO euro nelle attività </w:t>
      </w:r>
      <w:proofErr w:type="spellStart"/>
      <w:r w:rsidRPr="00AC02F7">
        <w:rPr>
          <w:rFonts w:ascii="Times" w:hAnsi="Times" w:cs="Times New Roman"/>
          <w:sz w:val="21"/>
          <w:szCs w:val="21"/>
        </w:rPr>
        <w:t>Mps</w:t>
      </w:r>
      <w:proofErr w:type="spellEnd"/>
      <w:r w:rsidRPr="00AC02F7">
        <w:rPr>
          <w:rFonts w:ascii="Times" w:hAnsi="Times" w:cs="Times New Roman"/>
          <w:sz w:val="21"/>
          <w:szCs w:val="21"/>
        </w:rPr>
        <w:t>);</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5) 22 milioni di spese vive per la creazione del veicolo;</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6) 300 milioni pari al 5% di tutti gli altri segmenti che </w:t>
      </w:r>
      <w:proofErr w:type="gramStart"/>
      <w:r w:rsidRPr="00AC02F7">
        <w:rPr>
          <w:rFonts w:ascii="Times" w:hAnsi="Times" w:cs="Times New Roman"/>
          <w:sz w:val="21"/>
          <w:szCs w:val="21"/>
        </w:rPr>
        <w:t>verrà</w:t>
      </w:r>
      <w:proofErr w:type="gramEnd"/>
      <w:r w:rsidRPr="00AC02F7">
        <w:rPr>
          <w:rFonts w:ascii="Times" w:hAnsi="Times" w:cs="Times New Roman"/>
          <w:sz w:val="21"/>
          <w:szCs w:val="21"/>
        </w:rPr>
        <w:t xml:space="preserve"> ritenuto direttamente dalla banca</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7) 70 milioni di </w:t>
      </w:r>
      <w:proofErr w:type="gramStart"/>
      <w:r w:rsidRPr="00AC02F7">
        <w:rPr>
          <w:rFonts w:ascii="Times" w:hAnsi="Times" w:cs="Times New Roman"/>
          <w:sz w:val="21"/>
          <w:szCs w:val="21"/>
        </w:rPr>
        <w:t>ulteriore</w:t>
      </w:r>
      <w:proofErr w:type="gramEnd"/>
      <w:r w:rsidRPr="00AC02F7">
        <w:rPr>
          <w:rFonts w:ascii="Times" w:hAnsi="Times" w:cs="Times New Roman"/>
          <w:sz w:val="21"/>
          <w:szCs w:val="21"/>
        </w:rPr>
        <w:t xml:space="preserve"> sconto su cessione sofferenze leasing ad Atlante. La vendita da 250 milioni sarà inoltre finanziata per intero da MPS.</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 xml:space="preserve">Per il momento quindi MPS cede circa </w:t>
      </w:r>
      <w:proofErr w:type="gramStart"/>
      <w:r w:rsidRPr="00AC02F7">
        <w:rPr>
          <w:rFonts w:ascii="Times" w:hAnsi="Times" w:cs="Times New Roman"/>
          <w:sz w:val="21"/>
          <w:szCs w:val="21"/>
        </w:rPr>
        <w:t>27</w:t>
      </w:r>
      <w:proofErr w:type="gramEnd"/>
      <w:r w:rsidRPr="00AC02F7">
        <w:rPr>
          <w:rFonts w:ascii="Times" w:hAnsi="Times" w:cs="Times New Roman"/>
          <w:sz w:val="21"/>
          <w:szCs w:val="21"/>
        </w:rPr>
        <w:t xml:space="preserve"> miliardi di sofferenze lorde e ne incassa circa 5 miliardi al netto spese, prestiti ed investimenti sul veicolo, rispetto ai 9 miliardi nominalmente incassati.</w:t>
      </w:r>
    </w:p>
    <w:p w:rsidR="00AC02F7" w:rsidRPr="00AC02F7" w:rsidRDefault="00AC02F7" w:rsidP="00AC02F7">
      <w:pPr>
        <w:spacing w:after="300" w:line="330" w:lineRule="atLeast"/>
        <w:rPr>
          <w:rFonts w:ascii="Times" w:hAnsi="Times" w:cs="Times New Roman"/>
          <w:sz w:val="21"/>
          <w:szCs w:val="21"/>
        </w:rPr>
      </w:pPr>
      <w:r w:rsidRPr="00AC02F7">
        <w:rPr>
          <w:rFonts w:ascii="Times" w:hAnsi="Times" w:cs="Times New Roman"/>
          <w:sz w:val="21"/>
          <w:szCs w:val="21"/>
        </w:rPr>
        <w:t>Altro argomento spinoso riguarda </w:t>
      </w:r>
      <w:r w:rsidRPr="00AC02F7">
        <w:rPr>
          <w:rFonts w:ascii="Times" w:hAnsi="Times" w:cs="Times New Roman"/>
          <w:sz w:val="21"/>
          <w:szCs w:val="21"/>
          <w:u w:val="single"/>
        </w:rPr>
        <w:t xml:space="preserve">la gestione e le tempistiche con cui </w:t>
      </w:r>
      <w:proofErr w:type="gramStart"/>
      <w:r w:rsidRPr="00AC02F7">
        <w:rPr>
          <w:rFonts w:ascii="Times" w:hAnsi="Times" w:cs="Times New Roman"/>
          <w:sz w:val="21"/>
          <w:szCs w:val="21"/>
          <w:u w:val="single"/>
        </w:rPr>
        <w:t xml:space="preserve">si </w:t>
      </w:r>
      <w:proofErr w:type="gramEnd"/>
      <w:r w:rsidRPr="00AC02F7">
        <w:rPr>
          <w:rFonts w:ascii="Times" w:hAnsi="Times" w:cs="Times New Roman"/>
          <w:sz w:val="21"/>
          <w:szCs w:val="21"/>
          <w:u w:val="single"/>
        </w:rPr>
        <w:t>informerà e si permetterà agli obbligazionisti di decidere se convertire volontariamente le obbligazioni subordinate in azioni</w:t>
      </w:r>
      <w:r w:rsidRPr="00AC02F7">
        <w:rPr>
          <w:rFonts w:ascii="Times" w:hAnsi="Times" w:cs="Times New Roman"/>
          <w:sz w:val="21"/>
          <w:szCs w:val="21"/>
        </w:rPr>
        <w:t xml:space="preserve">. Infatti, posto che solo oggi, si auspica, sia arrivato il via libera da </w:t>
      </w:r>
      <w:proofErr w:type="spellStart"/>
      <w:r w:rsidRPr="00AC02F7">
        <w:rPr>
          <w:rFonts w:ascii="Times" w:hAnsi="Times" w:cs="Times New Roman"/>
          <w:sz w:val="21"/>
          <w:szCs w:val="21"/>
        </w:rPr>
        <w:t>Consob</w:t>
      </w:r>
      <w:proofErr w:type="spellEnd"/>
      <w:r w:rsidRPr="00AC02F7">
        <w:rPr>
          <w:rFonts w:ascii="Times" w:hAnsi="Times" w:cs="Times New Roman"/>
          <w:sz w:val="21"/>
          <w:szCs w:val="21"/>
        </w:rPr>
        <w:t xml:space="preserve"> per procedere all’informativa di tutti i </w:t>
      </w:r>
      <w:proofErr w:type="gramStart"/>
      <w:r w:rsidRPr="00AC02F7">
        <w:rPr>
          <w:rFonts w:ascii="Times" w:hAnsi="Times" w:cs="Times New Roman"/>
          <w:sz w:val="21"/>
          <w:szCs w:val="21"/>
        </w:rPr>
        <w:t>40</w:t>
      </w:r>
      <w:proofErr w:type="gramEnd"/>
      <w:r w:rsidRPr="00AC02F7">
        <w:rPr>
          <w:rFonts w:ascii="Times" w:hAnsi="Times" w:cs="Times New Roman"/>
          <w:sz w:val="21"/>
          <w:szCs w:val="21"/>
        </w:rPr>
        <w:t xml:space="preserve"> mila obbligazionisti e i tempi utili per la conversione sono dal 28 novembre al 2 dicembre, come è possibile che in un così breve tempo si possano informare in maniera precisa e dettagliata tutti gli obbligazionisti su cosa comporta e comporterà la conversione volontaria in azioni e ancor peggio il piano B che prevede l’attuazione del </w:t>
      </w:r>
      <w:proofErr w:type="spellStart"/>
      <w:r w:rsidRPr="00AC02F7">
        <w:rPr>
          <w:rFonts w:ascii="Times" w:hAnsi="Times" w:cs="Times New Roman"/>
          <w:sz w:val="21"/>
          <w:szCs w:val="21"/>
        </w:rPr>
        <w:t>Bail</w:t>
      </w:r>
      <w:proofErr w:type="spellEnd"/>
      <w:r w:rsidRPr="00AC02F7">
        <w:rPr>
          <w:rFonts w:ascii="Times" w:hAnsi="Times" w:cs="Times New Roman"/>
          <w:sz w:val="21"/>
          <w:szCs w:val="21"/>
        </w:rPr>
        <w:t>-in? Come potranno avere una visione chiara della situazione e fare una scelta consapevole?</w:t>
      </w:r>
      <w:r w:rsidRPr="00AC02F7">
        <w:rPr>
          <w:rFonts w:ascii="Times" w:hAnsi="Times" w:cs="Times New Roman"/>
          <w:sz w:val="21"/>
          <w:szCs w:val="21"/>
        </w:rPr>
        <w:br/>
        <w:t>Associazione Vittime del Salva-Banche</w:t>
      </w:r>
    </w:p>
    <w:p w:rsidR="00AC02F7" w:rsidRPr="00AC02F7" w:rsidRDefault="00AC02F7" w:rsidP="00AC02F7">
      <w:pPr>
        <w:spacing w:line="375" w:lineRule="atLeast"/>
        <w:textAlignment w:val="center"/>
        <w:rPr>
          <w:rFonts w:ascii="Helvetica" w:eastAsia="Times New Roman" w:hAnsi="Helvetica" w:cs="Times New Roman"/>
          <w:color w:val="9A9A9A"/>
          <w:sz w:val="21"/>
          <w:szCs w:val="21"/>
        </w:rPr>
      </w:pPr>
      <w:r w:rsidRPr="00AC02F7">
        <w:rPr>
          <w:rFonts w:ascii="Helvetica" w:eastAsia="Times New Roman" w:hAnsi="Helvetica" w:cs="Times New Roman"/>
          <w:color w:val="9A9A9A"/>
          <w:sz w:val="21"/>
          <w:szCs w:val="21"/>
        </w:rPr>
        <w:br/>
      </w:r>
    </w:p>
    <w:p w:rsidR="00B35188" w:rsidRDefault="00B35188">
      <w:bookmarkStart w:id="0" w:name="_GoBack"/>
      <w:bookmarkEnd w:id="0"/>
    </w:p>
    <w:sectPr w:rsidR="00B35188" w:rsidSect="00B3518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F7"/>
    <w:rsid w:val="00AC02F7"/>
    <w:rsid w:val="00B351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F1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C02F7"/>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AC02F7"/>
    <w:rPr>
      <w:rFonts w:ascii="Times" w:hAnsi="Times"/>
      <w:b/>
      <w:bCs/>
      <w:sz w:val="36"/>
      <w:szCs w:val="36"/>
    </w:rPr>
  </w:style>
  <w:style w:type="paragraph" w:styleId="NormaleWeb">
    <w:name w:val="Normal (Web)"/>
    <w:basedOn w:val="Normale"/>
    <w:uiPriority w:val="99"/>
    <w:semiHidden/>
    <w:unhideWhenUsed/>
    <w:rsid w:val="00AC02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AC02F7"/>
  </w:style>
  <w:style w:type="paragraph" w:styleId="Testofumetto">
    <w:name w:val="Balloon Text"/>
    <w:basedOn w:val="Normale"/>
    <w:link w:val="TestofumettoCarattere"/>
    <w:uiPriority w:val="99"/>
    <w:semiHidden/>
    <w:unhideWhenUsed/>
    <w:rsid w:val="00AC02F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C02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C02F7"/>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AC02F7"/>
    <w:rPr>
      <w:rFonts w:ascii="Times" w:hAnsi="Times"/>
      <w:b/>
      <w:bCs/>
      <w:sz w:val="36"/>
      <w:szCs w:val="36"/>
    </w:rPr>
  </w:style>
  <w:style w:type="paragraph" w:styleId="NormaleWeb">
    <w:name w:val="Normal (Web)"/>
    <w:basedOn w:val="Normale"/>
    <w:uiPriority w:val="99"/>
    <w:semiHidden/>
    <w:unhideWhenUsed/>
    <w:rsid w:val="00AC02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AC02F7"/>
  </w:style>
  <w:style w:type="paragraph" w:styleId="Testofumetto">
    <w:name w:val="Balloon Text"/>
    <w:basedOn w:val="Normale"/>
    <w:link w:val="TestofumettoCarattere"/>
    <w:uiPriority w:val="99"/>
    <w:semiHidden/>
    <w:unhideWhenUsed/>
    <w:rsid w:val="00AC02F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C02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4082">
      <w:bodyDiv w:val="1"/>
      <w:marLeft w:val="0"/>
      <w:marRight w:val="0"/>
      <w:marTop w:val="0"/>
      <w:marBottom w:val="0"/>
      <w:divBdr>
        <w:top w:val="none" w:sz="0" w:space="0" w:color="auto"/>
        <w:left w:val="none" w:sz="0" w:space="0" w:color="auto"/>
        <w:bottom w:val="none" w:sz="0" w:space="0" w:color="auto"/>
        <w:right w:val="none" w:sz="0" w:space="0" w:color="auto"/>
      </w:divBdr>
      <w:divsChild>
        <w:div w:id="361824862">
          <w:marLeft w:val="0"/>
          <w:marRight w:val="0"/>
          <w:marTop w:val="0"/>
          <w:marBottom w:val="0"/>
          <w:divBdr>
            <w:top w:val="none" w:sz="0" w:space="0" w:color="auto"/>
            <w:left w:val="none" w:sz="0" w:space="0" w:color="auto"/>
            <w:bottom w:val="none" w:sz="0" w:space="0" w:color="auto"/>
            <w:right w:val="none" w:sz="0" w:space="0" w:color="auto"/>
          </w:divBdr>
          <w:divsChild>
            <w:div w:id="378481994">
              <w:marLeft w:val="0"/>
              <w:marRight w:val="300"/>
              <w:marTop w:val="0"/>
              <w:marBottom w:val="0"/>
              <w:divBdr>
                <w:top w:val="none" w:sz="0" w:space="0" w:color="auto"/>
                <w:left w:val="none" w:sz="0" w:space="0" w:color="auto"/>
                <w:bottom w:val="none" w:sz="0" w:space="0" w:color="auto"/>
                <w:right w:val="none" w:sz="0" w:space="0" w:color="auto"/>
              </w:divBdr>
            </w:div>
          </w:divsChild>
        </w:div>
        <w:div w:id="603540072">
          <w:marLeft w:val="-300"/>
          <w:marRight w:val="-300"/>
          <w:marTop w:val="225"/>
          <w:marBottom w:val="600"/>
          <w:divBdr>
            <w:top w:val="single" w:sz="6" w:space="8" w:color="E9E9E9"/>
            <w:left w:val="single" w:sz="2" w:space="15" w:color="E9E9E9"/>
            <w:bottom w:val="single" w:sz="6" w:space="8" w:color="E9E9E9"/>
            <w:right w:val="single" w:sz="2" w:space="15" w:color="E9E9E9"/>
          </w:divBdr>
          <w:divsChild>
            <w:div w:id="1446078012">
              <w:marLeft w:val="0"/>
              <w:marRight w:val="0"/>
              <w:marTop w:val="0"/>
              <w:marBottom w:val="0"/>
              <w:divBdr>
                <w:top w:val="none" w:sz="0" w:space="0" w:color="auto"/>
                <w:left w:val="none" w:sz="0" w:space="0" w:color="auto"/>
                <w:bottom w:val="none" w:sz="0" w:space="0" w:color="auto"/>
                <w:right w:val="none" w:sz="0" w:space="0" w:color="auto"/>
              </w:divBdr>
              <w:divsChild>
                <w:div w:id="14315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Macintosh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2016-11-27T09:10:00Z</dcterms:created>
  <dcterms:modified xsi:type="dcterms:W3CDTF">2016-11-27T09:11:00Z</dcterms:modified>
</cp:coreProperties>
</file>